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0201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4"/>
        <w:gridCol w:w="3402"/>
        <w:gridCol w:w="3265"/>
      </w:tblGrid>
      <w:tr>
        <w:trPr>
          <w:trHeight w:val="1465" w:hRule="atLeast"/>
        </w:trPr>
        <w:tc>
          <w:tcPr>
            <w:tcW w:w="693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lang w:eastAsia="it-IT"/>
              </w:rPr>
            </w:pPr>
            <w:r>
              <w:rPr>
                <w:rFonts w:ascii="Verdana" w:hAnsi="Verdana"/>
                <w:b/>
                <w:lang w:eastAsia="it-IT"/>
              </w:rPr>
              <w:drawing>
                <wp:anchor behindDoc="1" distT="0" distB="0" distL="114300" distR="114300" simplePos="0" locked="0" layoutInCell="1" allowOverlap="1" relativeHeight="2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28575</wp:posOffset>
                  </wp:positionV>
                  <wp:extent cx="254000" cy="285750"/>
                  <wp:effectExtent l="0" t="0" r="0" b="0"/>
                  <wp:wrapNone/>
                  <wp:docPr id="1" name="Immagine 1" descr="link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ink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b/>
                <w:sz w:val="18"/>
                <w:szCs w:val="18"/>
                <w:lang w:eastAsia="it-IT"/>
              </w:rPr>
              <w:t>Ministero della Pubblica Istruzione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5670" w:leader="none"/>
              </w:tabs>
              <w:spacing w:lineRule="auto" w:line="240" w:before="0" w:after="0"/>
              <w:jc w:val="center"/>
              <w:outlineLvl w:val="0"/>
              <w:rPr/>
            </w:pPr>
            <w:r>
              <w:rPr>
                <w:rFonts w:ascii="Verdana" w:hAnsi="Verdana"/>
                <w:b/>
                <w:spacing w:val="30"/>
                <w:sz w:val="20"/>
                <w:szCs w:val="20"/>
                <w:lang w:eastAsia="it-IT"/>
              </w:rPr>
              <w:t>Istituto Comprensivo “N. Berther”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5670" w:leader="none"/>
              </w:tabs>
              <w:spacing w:lineRule="auto" w:line="240" w:before="0" w:after="0"/>
              <w:jc w:val="center"/>
              <w:outlineLvl w:val="0"/>
              <w:rPr/>
            </w:pPr>
            <w:r>
              <w:rPr>
                <w:rFonts w:ascii="Verdana" w:hAnsi="Verdana"/>
                <w:b/>
                <w:spacing w:val="3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Verdana" w:hAnsi="Verdana"/>
                <w:b/>
                <w:spacing w:val="30"/>
                <w:sz w:val="20"/>
                <w:szCs w:val="20"/>
                <w:lang w:eastAsia="it-IT"/>
              </w:rPr>
              <w:t>S. Zeno N. - Montirone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i/>
                <w:sz w:val="18"/>
                <w:szCs w:val="18"/>
                <w:lang w:eastAsia="it-IT"/>
              </w:rPr>
              <w:t xml:space="preserve">Piazza Marconi, 2  -  25010 San Zeno Naviglio (BS)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i/>
                <w:sz w:val="18"/>
                <w:szCs w:val="18"/>
                <w:lang w:eastAsia="it-IT"/>
              </w:rPr>
              <w:t>Tel.: 030 2161097 – Fax: 030 2168154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8"/>
                <w:szCs w:val="18"/>
                <w:lang w:eastAsia="it-IT"/>
              </w:rPr>
              <w:t>E-mail</w:t>
            </w:r>
            <w:r>
              <w:rPr>
                <w:rFonts w:ascii="Verdana" w:hAnsi="Verdana"/>
                <w:i/>
                <w:sz w:val="18"/>
                <w:szCs w:val="18"/>
                <w:lang w:eastAsia="it-IT"/>
              </w:rPr>
              <w:t xml:space="preserve">: bsic84500v@istruzione.it -  </w:t>
            </w:r>
            <w:r>
              <w:rPr>
                <w:rFonts w:ascii="Verdana" w:hAnsi="Verdana"/>
                <w:sz w:val="18"/>
                <w:szCs w:val="18"/>
                <w:lang w:eastAsia="it-IT"/>
              </w:rPr>
              <w:t>Pec</w:t>
            </w:r>
            <w:r>
              <w:rPr>
                <w:rFonts w:ascii="Verdana" w:hAnsi="Verdana"/>
                <w:i/>
                <w:sz w:val="18"/>
                <w:szCs w:val="18"/>
                <w:lang w:eastAsia="it-IT"/>
              </w:rPr>
              <w:t>: bsic84500v@pec.istruzione.it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8"/>
                <w:szCs w:val="18"/>
                <w:lang w:val="en-US" w:eastAsia="it-IT"/>
              </w:rPr>
              <w:t>Sito web</w:t>
            </w:r>
            <w:r>
              <w:rPr>
                <w:rFonts w:ascii="Verdana" w:hAnsi="Verdana"/>
                <w:i/>
                <w:sz w:val="18"/>
                <w:szCs w:val="18"/>
                <w:lang w:val="en-US" w:eastAsia="it-IT"/>
              </w:rPr>
              <w:t xml:space="preserve">: </w:t>
            </w:r>
            <w:hyperlink r:id="rId3">
              <w:r>
                <w:rPr>
                  <w:rStyle w:val="CollegamentoInternet"/>
                  <w:rFonts w:ascii="Verdana" w:hAnsi="Verdana"/>
                  <w:i/>
                  <w:sz w:val="18"/>
                  <w:szCs w:val="18"/>
                  <w:lang w:val="en-US" w:eastAsia="it-IT"/>
                </w:rPr>
                <w:t>www.icsanzenomontirone.gov.it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i/>
                <w:i/>
                <w:sz w:val="8"/>
                <w:szCs w:val="8"/>
                <w:lang w:val="en-US" w:eastAsia="it-IT"/>
              </w:rPr>
            </w:pPr>
            <w:r>
              <w:rPr>
                <w:rFonts w:ascii="Verdana" w:hAnsi="Verdana"/>
                <w:i/>
                <w:sz w:val="8"/>
                <w:szCs w:val="8"/>
                <w:lang w:val="en-US" w:eastAsia="it-IT"/>
              </w:rPr>
            </w:r>
          </w:p>
        </w:tc>
        <w:tc>
          <w:tcPr>
            <w:tcW w:w="32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913255" cy="1117600"/>
                      <wp:effectExtent l="0" t="0" r="0" b="8890"/>
                      <wp:wrapNone/>
                      <wp:docPr id="2" name="Gruppo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2680" cy="1117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Immagine 3" descr="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0"/>
                                  <a:ext cx="1881000" cy="6440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magine 4" descr="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788760" y="635040"/>
                                  <a:ext cx="1123920" cy="4640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magine 5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623520"/>
                                  <a:ext cx="562680" cy="493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uppo 2" style="position:absolute;margin-left:0pt;margin-top:2.65pt;width:150.6pt;height:87.9pt" coordorigin="0,53" coordsize="3012,1758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magine 3" stroked="f" style="position:absolute;left:0;top:53;width:2961;height:1013" type="shapetype_75">
                        <v:imagedata r:id="rId4" o:detectmouseclick="t"/>
                        <w10:wrap type="none"/>
                        <v:stroke color="#3465a4" joinstyle="round" endcap="flat"/>
                      </v:shape>
                      <v:shape id="shape_0" ID="Immagine 4" stroked="f" style="position:absolute;left:1242;top:1053;width:1769;height:730" type="shapetype_75">
                        <v:imagedata r:id="rId5" o:detectmouseclick="t"/>
                        <w10:wrap type="none"/>
                        <v:stroke color="#3465a4" joinstyle="round" endcap="flat"/>
                      </v:shape>
                      <v:shape id="shape_0" ID="Immagine 5" stroked="f" style="position:absolute;left:0;top:1035;width:885;height:776" type="shapetype_75">
                        <v:imagedata r:id="rId6" o:detectmouseclick="t"/>
                        <w10:wrap type="none"/>
                        <v:stroke color="#3465a4" joinstyle="round" endcap="fla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500" w:hRule="atLeast"/>
        </w:trPr>
        <w:tc>
          <w:tcPr>
            <w:tcW w:w="3534" w:type="dxa"/>
            <w:tcBorders/>
            <w:shd w:fill="auto" w:val="clear"/>
            <w:vAlign w:val="center"/>
          </w:tcPr>
          <w:p>
            <w:pPr>
              <w:pStyle w:val="Intestazion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i/>
                <w:sz w:val="18"/>
                <w:szCs w:val="18"/>
                <w:lang w:val="en-GB" w:eastAsia="it-IT"/>
              </w:rPr>
              <w:t>Codice Meccanografico:</w:t>
            </w:r>
          </w:p>
          <w:p>
            <w:pPr>
              <w:pStyle w:val="Intestazion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 w:eastAsia="it-IT"/>
              </w:rPr>
              <w:t>BSIC84500V</w:t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Intestazion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i/>
                <w:sz w:val="18"/>
                <w:szCs w:val="18"/>
                <w:lang w:val="en-GB" w:eastAsia="it-IT"/>
              </w:rPr>
              <w:t>Codice Univoco Ufficio:</w:t>
            </w:r>
          </w:p>
          <w:p>
            <w:pPr>
              <w:pStyle w:val="Intestazion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 w:eastAsia="it-IT"/>
              </w:rPr>
              <w:t>UF00KK</w:t>
            </w:r>
          </w:p>
        </w:tc>
        <w:tc>
          <w:tcPr>
            <w:tcW w:w="3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i/>
                <w:sz w:val="18"/>
                <w:szCs w:val="18"/>
                <w:lang w:val="en-US" w:eastAsia="it-IT"/>
              </w:rPr>
              <w:t>Codice Fiscale: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 w:eastAsia="it-IT"/>
              </w:rPr>
              <w:t>98110970179</w:t>
            </w:r>
            <w:bookmarkStart w:id="0" w:name="_GoBack1"/>
            <w:bookmarkEnd w:id="0"/>
          </w:p>
        </w:tc>
      </w:tr>
    </w:tbl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ListParagraph"/>
        <w:spacing w:lineRule="auto" w:line="240" w:before="0" w:after="0"/>
        <w:ind w:left="405" w:hanging="0"/>
        <w:contextualSpacing/>
        <w:rPr/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 xml:space="preserve">Prot. n.     </w:t>
      </w: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2062/IV.1</w:t>
      </w: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ab/>
        <w:tab/>
        <w:tab/>
        <w:tab/>
        <w:tab/>
        <w:t xml:space="preserve">San Zeno Naviglio, </w:t>
      </w: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 xml:space="preserve">20 novembre </w:t>
      </w: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201</w:t>
      </w: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8</w:t>
      </w:r>
    </w:p>
    <w:p>
      <w:pPr>
        <w:pStyle w:val="ListParagraph"/>
        <w:spacing w:lineRule="auto" w:line="240" w:before="0" w:after="0"/>
        <w:ind w:left="405" w:hanging="0"/>
        <w:contextualSpacing/>
        <w:rPr>
          <w:rStyle w:val="CollegamentoInternet"/>
          <w:rFonts w:ascii="Calibri" w:hAnsi="Calibri"/>
          <w:sz w:val="22"/>
          <w:szCs w:val="22"/>
        </w:rPr>
      </w:pPr>
      <w:r>
        <w:rPr>
          <w:rFonts w:ascii="Cambria" w:hAnsi="Cambria"/>
          <w:color w:val="auto"/>
          <w:sz w:val="18"/>
          <w:szCs w:val="18"/>
          <w:u w:val="none"/>
        </w:rPr>
      </w:r>
    </w:p>
    <w:p>
      <w:pPr>
        <w:pStyle w:val="ListParagraph"/>
        <w:spacing w:lineRule="auto" w:line="240" w:before="0" w:after="0"/>
        <w:ind w:left="405" w:hanging="0"/>
        <w:contextualSpacing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ab/>
        <w:tab/>
        <w:tab/>
        <w:tab/>
        <w:tab/>
        <w:tab/>
        <w:tab/>
        <w:tab/>
        <w:tab/>
        <w:tab/>
        <w:t>Al Collegio dei Docenti</w:t>
        <w:tab/>
        <w:tab/>
        <w:tab/>
        <w:tab/>
        <w:tab/>
        <w:tab/>
        <w:tab/>
        <w:tab/>
        <w:tab/>
        <w:tab/>
        <w:tab/>
        <w:t>Agli Atti</w:t>
      </w:r>
    </w:p>
    <w:p>
      <w:pPr>
        <w:pStyle w:val="ListParagraph"/>
        <w:spacing w:lineRule="auto" w:line="240" w:before="0" w:after="0"/>
        <w:ind w:left="405" w:hanging="0"/>
        <w:contextualSpacing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ab/>
        <w:tab/>
        <w:tab/>
        <w:tab/>
        <w:tab/>
        <w:tab/>
        <w:tab/>
        <w:tab/>
        <w:tab/>
        <w:tab/>
        <w:t xml:space="preserve">Al sito Web </w:t>
      </w:r>
    </w:p>
    <w:p>
      <w:pPr>
        <w:pStyle w:val="ListParagraph"/>
        <w:spacing w:lineRule="auto" w:line="240" w:before="0" w:after="0"/>
        <w:ind w:left="405" w:hanging="0"/>
        <w:contextualSpacing/>
        <w:rPr>
          <w:rStyle w:val="CollegamentoInternet"/>
          <w:rFonts w:ascii="Calibri" w:hAnsi="Calibri"/>
          <w:sz w:val="22"/>
          <w:szCs w:val="22"/>
        </w:rPr>
      </w:pPr>
      <w:r>
        <w:rPr>
          <w:rFonts w:ascii="Cambria" w:hAnsi="Cambria"/>
          <w:color w:val="auto"/>
          <w:sz w:val="18"/>
          <w:szCs w:val="18"/>
          <w:u w:val="none"/>
        </w:rPr>
      </w:r>
    </w:p>
    <w:p>
      <w:pPr>
        <w:pStyle w:val="ListParagraph"/>
        <w:ind w:left="405" w:hanging="0"/>
        <w:rPr>
          <w:rStyle w:val="CollegamentoInternet"/>
          <w:rFonts w:ascii="Calibri" w:hAnsi="Calibri"/>
          <w:sz w:val="22"/>
          <w:szCs w:val="22"/>
        </w:rPr>
      </w:pPr>
      <w:r>
        <w:rPr>
          <w:rFonts w:ascii="Cambria" w:hAnsi="Cambria"/>
          <w:color w:val="auto"/>
          <w:sz w:val="18"/>
          <w:szCs w:val="18"/>
          <w:u w:val="none"/>
        </w:rPr>
      </w:r>
    </w:p>
    <w:p>
      <w:pPr>
        <w:pStyle w:val="ListParagraph"/>
        <w:ind w:left="405" w:hanging="0"/>
        <w:rPr/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 xml:space="preserve">Oggetto: </w:t>
      </w:r>
      <w:r>
        <w:rPr>
          <w:rStyle w:val="CollegamentoInternet"/>
          <w:rFonts w:ascii="Calibri" w:hAnsi="Calibri"/>
          <w:b/>
          <w:bCs/>
          <w:color w:val="auto"/>
          <w:sz w:val="22"/>
          <w:szCs w:val="22"/>
          <w:u w:val="none"/>
        </w:rPr>
        <w:t xml:space="preserve">Atto d'Indirizzo al Collegio dei Docenti per la predisposizione del POF triennale </w:t>
      </w:r>
      <w:r>
        <w:rPr>
          <w:rStyle w:val="CollegamentoInternet"/>
          <w:rFonts w:ascii="Calibri" w:hAnsi="Calibri"/>
          <w:b/>
          <w:bCs/>
          <w:color w:val="auto"/>
          <w:sz w:val="22"/>
          <w:szCs w:val="22"/>
          <w:u w:val="none"/>
        </w:rPr>
        <w:t>2019-2022</w:t>
      </w:r>
    </w:p>
    <w:p>
      <w:pPr>
        <w:pStyle w:val="ListParagraph"/>
        <w:ind w:left="405" w:hanging="0"/>
        <w:rPr>
          <w:rStyle w:val="CollegamentoInternet"/>
          <w:rFonts w:ascii="Calibri" w:hAnsi="Calibri"/>
          <w:sz w:val="22"/>
          <w:szCs w:val="22"/>
        </w:rPr>
      </w:pPr>
      <w:r>
        <w:rPr>
          <w:rFonts w:ascii="Cambria" w:hAnsi="Cambria"/>
          <w:color w:val="auto"/>
          <w:sz w:val="18"/>
          <w:szCs w:val="18"/>
          <w:u w:val="none"/>
        </w:rPr>
      </w:r>
    </w:p>
    <w:p>
      <w:pPr>
        <w:pStyle w:val="ListParagraph"/>
        <w:ind w:left="405" w:hanging="0"/>
        <w:jc w:val="center"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LA DIRIGENTE SCOLASTICA</w:t>
      </w:r>
    </w:p>
    <w:p>
      <w:pPr>
        <w:pStyle w:val="ListParagraph"/>
        <w:ind w:left="405" w:hanging="0"/>
        <w:jc w:val="both"/>
        <w:rPr>
          <w:rStyle w:val="CollegamentoInternet"/>
          <w:rFonts w:ascii="Calibri" w:hAnsi="Calibri"/>
          <w:sz w:val="22"/>
          <w:szCs w:val="22"/>
        </w:rPr>
      </w:pPr>
      <w:r>
        <w:rPr>
          <w:rFonts w:ascii="Cambria" w:hAnsi="Cambria"/>
          <w:color w:val="auto"/>
          <w:sz w:val="18"/>
          <w:szCs w:val="18"/>
          <w:u w:val="none"/>
        </w:rPr>
      </w:r>
    </w:p>
    <w:p>
      <w:pPr>
        <w:pStyle w:val="ListParagraph"/>
        <w:ind w:left="405" w:hanging="0"/>
        <w:jc w:val="both"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Visto il DPR n. 297/1994 (Testo Unico delle disposizioni legislative in materia di istruzione)</w:t>
      </w:r>
    </w:p>
    <w:p>
      <w:pPr>
        <w:pStyle w:val="ListParagraph"/>
        <w:ind w:left="405" w:hanging="0"/>
        <w:jc w:val="both"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Visto il DPR n. 275/1999 (Regolamento in materia di Autonomia delle I.S.)</w:t>
      </w:r>
    </w:p>
    <w:p>
      <w:pPr>
        <w:pStyle w:val="ListParagraph"/>
        <w:ind w:left="405" w:hanging="0"/>
        <w:jc w:val="both"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 xml:space="preserve">Visti gli artt.  26 – 27 – 28 – 29 del CCNL Comparto Scuola </w:t>
      </w:r>
    </w:p>
    <w:p>
      <w:pPr>
        <w:pStyle w:val="ListParagraph"/>
        <w:ind w:left="405" w:hanging="0"/>
        <w:jc w:val="both"/>
        <w:rPr>
          <w:sz w:val="18"/>
          <w:szCs w:val="18"/>
        </w:rPr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Visto l'art. 25 commi 1, 2, 3 del  D. Lgs. n. 165/2001 (Norme generali sull'ordinamento del lavoro alle dipendenze delle amministrazioni pubbliche)</w:t>
      </w:r>
    </w:p>
    <w:p>
      <w:pPr>
        <w:pStyle w:val="ListParagraph"/>
        <w:ind w:left="405" w:hanging="0"/>
        <w:jc w:val="both"/>
        <w:rPr/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Vista la L. n. 107/2015 (Riforma del sistema nazionale di istruzione e formazione e delega per il riordino delle disposizioni legislative vigenti)</w:t>
      </w:r>
    </w:p>
    <w:p>
      <w:pPr>
        <w:pStyle w:val="ListParagraph"/>
        <w:ind w:left="405" w:hanging="0"/>
        <w:jc w:val="both"/>
        <w:rPr/>
      </w:pPr>
      <w:r>
        <w:rPr>
          <w:rStyle w:val="CollegamentoInternet"/>
          <w:rFonts w:ascii="Calibri" w:hAnsi="Calibri"/>
          <w:color w:val="auto"/>
          <w:sz w:val="22"/>
          <w:szCs w:val="22"/>
          <w:u w:val="none"/>
        </w:rPr>
        <w:t>Vista la Nota ministeriale 17832 del 1</w:t>
      </w:r>
      <w:r>
        <w:rPr>
          <w:rStyle w:val="CollegamentoInternet"/>
          <w:rFonts w:ascii="Calibri" w:hAnsi="Calibri"/>
          <w:i/>
          <w:iCs/>
          <w:color w:val="auto"/>
          <w:sz w:val="22"/>
          <w:szCs w:val="22"/>
          <w:u w:val="none"/>
        </w:rPr>
        <w:t>6/10/2018</w:t>
      </w:r>
    </w:p>
    <w:p>
      <w:pPr>
        <w:pStyle w:val="ListParagraph"/>
        <w:ind w:left="405" w:hanging="0"/>
        <w:jc w:val="both"/>
        <w:rPr>
          <w:rStyle w:val="CollegamentoInternet"/>
          <w:rFonts w:ascii="Calibri" w:hAnsi="Calibri"/>
          <w:sz w:val="22"/>
          <w:szCs w:val="22"/>
        </w:rPr>
      </w:pPr>
      <w:r>
        <w:rPr>
          <w:rFonts w:ascii="Cambria" w:hAnsi="Cambria"/>
          <w:color w:val="auto"/>
          <w:sz w:val="18"/>
          <w:szCs w:val="18"/>
          <w:u w:val="none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>TENUTO CONTO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delle Indicazioni Nazionali per il Curricolo 2012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Calibri" w:hAnsi="Calibri"/>
          <w:sz w:val="22"/>
          <w:szCs w:val="22"/>
        </w:rPr>
        <w:t>del Rapporto di Auto Valutazione  (RAV) dell’Istituto e delle Priorità in esso indicate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Calibri" w:hAnsi="Calibri"/>
          <w:sz w:val="22"/>
          <w:szCs w:val="22"/>
        </w:rPr>
        <w:t>del P</w:t>
      </w:r>
      <w:r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OF vigente elaborato dal C. d. D. di codesto Istituto</w:t>
      </w:r>
    </w:p>
    <w:p>
      <w:pPr>
        <w:pStyle w:val="Normal"/>
        <w:jc w:val="center"/>
        <w:rPr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>EMANA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>il seguente Atto di Indirizzo rivolto al Collegio dei Docenti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fine di fornire indicazioni sulle modalità di </w:t>
      </w:r>
      <w:r>
        <w:rPr>
          <w:rFonts w:ascii="Calibri" w:hAnsi="Calibri"/>
          <w:sz w:val="22"/>
          <w:szCs w:val="22"/>
        </w:rPr>
        <w:t>predisposizione</w:t>
      </w:r>
      <w:r>
        <w:rPr>
          <w:rFonts w:ascii="Calibri" w:hAnsi="Calibri"/>
          <w:sz w:val="22"/>
          <w:szCs w:val="22"/>
        </w:rPr>
        <w:t xml:space="preserve"> del Piano triennale dell’Offerta Formativa, sui suoi contenuti centrali, sugli obiettivi principali da perseguire. Ai sensi dell’art. 3 del DPR n. 275/1999 e della legge n. 107/2015, il PTOF – che avrà durata triennale, ma sarà rivedibile entro il mese di ottobre di ogni anno scolastico -  viene elaborato dal Collegio dei Docenti e deve contenere il curricolo, le attività e l’impostazione metodologica e didattica, l’organizzazione dell’istituzione scolastica.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C.d.D. pertanto è chiamato ad elaborare il Piano dell’Offerta Formativa per il triennio che decorre dall’a.s. 201</w:t>
      </w:r>
      <w:r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>, sulla base delle seguenti indicazioni:</w:t>
      </w: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Calibri" w:hAnsi="Calibri"/>
          <w:sz w:val="22"/>
          <w:szCs w:val="22"/>
        </w:rPr>
        <w:t>L’elaborazione del PTOF dovrà partire dalle priorità, dai traguardi e dagli obiettivi di processo individuati nel RAV;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Nel Piano si terrà conto non soltanto della normativa e delle Indicazioni Nazionali, ma anche della </w:t>
      </w:r>
      <w:r>
        <w:rPr>
          <w:rFonts w:ascii="Calibri" w:hAnsi="Calibri"/>
          <w:i/>
          <w:sz w:val="22"/>
          <w:szCs w:val="22"/>
        </w:rPr>
        <w:t xml:space="preserve">mission </w:t>
      </w:r>
      <w:r>
        <w:rPr>
          <w:rFonts w:ascii="Calibri" w:hAnsi="Calibri"/>
          <w:sz w:val="22"/>
          <w:szCs w:val="22"/>
        </w:rPr>
        <w:t xml:space="preserve">e della </w:t>
      </w:r>
      <w:r>
        <w:rPr>
          <w:rFonts w:ascii="Calibri" w:hAnsi="Calibri"/>
          <w:i/>
          <w:sz w:val="22"/>
          <w:szCs w:val="22"/>
        </w:rPr>
        <w:t>vision</w:t>
      </w:r>
      <w:r>
        <w:rPr>
          <w:rFonts w:ascii="Calibri" w:hAnsi="Calibri"/>
          <w:sz w:val="22"/>
          <w:szCs w:val="22"/>
        </w:rPr>
        <w:t xml:space="preserve"> già presenti nel POF dell’Istituto e condivise dalla comunità scolastica. </w:t>
      </w:r>
    </w:p>
    <w:p>
      <w:pPr>
        <w:pStyle w:val="Normal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Si indica, pertanto: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di consolidare nella prassi didattica quotidiana il curricolo verticale dell’Istituto;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di strutturare i processi di insegnamento-apprendimento in modo che essi diano risposte concrete alle Indicazioni Nazionali e ai traguardi che ciascuno studente deve conseguire nell’esercizio del diritto-dovere all’istruzione.</w:t>
      </w:r>
    </w:p>
    <w:p>
      <w:pPr>
        <w:pStyle w:val="Normal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Più nello specifico si ritiene necessario: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migliorare i processi di pianificazione, sviluppo, verifica e valutazione dei percorsi di studio (curricolo del singolo studente, curricolo per classi parallele, curricolo per ordine di scuola, curricolo d’istituto);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superare la dimensione trasmissiva dell’insegnamento e far sì che l’impianto metodologico contribuisca fattivamente, attraverso l’azione didattica, allo sviluppo delle competenze chiave di cittadinanza europee;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monitorare ed intervenire tempestivamente sugli alunni a rischio (attraverso 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z w:val="22"/>
          <w:szCs w:val="22"/>
        </w:rPr>
        <w:t xml:space="preserve"> segnalazione precoce di casi potenziali DSA/BES/dispersione; </w:t>
      </w:r>
      <w:r>
        <w:rPr>
          <w:rFonts w:ascii="Calibri" w:hAnsi="Calibri"/>
          <w:sz w:val="22"/>
          <w:szCs w:val="22"/>
        </w:rPr>
        <w:t>attraverso PDP</w:t>
      </w:r>
      <w:r>
        <w:rPr>
          <w:rFonts w:ascii="Calibri" w:hAnsi="Calibri"/>
          <w:sz w:val="22"/>
          <w:szCs w:val="22"/>
        </w:rPr>
        <w:t>);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contrastare, attraverso attività scolastic</w:t>
      </w:r>
      <w:r>
        <w:rPr>
          <w:rFonts w:ascii="Calibri" w:hAnsi="Calibri"/>
          <w:sz w:val="22"/>
          <w:szCs w:val="22"/>
        </w:rPr>
        <w:t>he</w:t>
      </w:r>
      <w:r>
        <w:rPr>
          <w:rFonts w:ascii="Calibri" w:hAnsi="Calibri"/>
          <w:sz w:val="22"/>
          <w:szCs w:val="22"/>
        </w:rPr>
        <w:t xml:space="preserve"> mirate, la dispersione e/o l’abbandono scolastici;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condividere con</w:t>
      </w:r>
      <w:r>
        <w:rPr>
          <w:rFonts w:ascii="Calibri" w:hAnsi="Calibri"/>
          <w:sz w:val="22"/>
          <w:szCs w:val="22"/>
        </w:rPr>
        <w:t xml:space="preserve"> il personale, gli alunni e le famiglie gli obiettivi </w:t>
      </w:r>
      <w:r>
        <w:rPr>
          <w:rFonts w:ascii="Calibri" w:hAnsi="Calibri"/>
          <w:sz w:val="22"/>
          <w:szCs w:val="22"/>
        </w:rPr>
        <w:t xml:space="preserve">e i percorsi </w:t>
      </w:r>
      <w:r>
        <w:rPr>
          <w:rFonts w:ascii="Calibri" w:hAnsi="Calibri"/>
          <w:sz w:val="22"/>
          <w:szCs w:val="22"/>
        </w:rPr>
        <w:t xml:space="preserve">da </w:t>
      </w:r>
      <w:r>
        <w:rPr>
          <w:rFonts w:ascii="Calibri" w:hAnsi="Calibri"/>
          <w:sz w:val="22"/>
          <w:szCs w:val="22"/>
        </w:rPr>
        <w:t>seguire</w:t>
      </w:r>
      <w:r>
        <w:rPr>
          <w:rFonts w:ascii="Calibri" w:hAnsi="Calibri"/>
          <w:sz w:val="22"/>
          <w:szCs w:val="22"/>
        </w:rPr>
        <w:t xml:space="preserve">  per il loro conseguimento;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promuovere la condivisione delle regole di convivenza e di rispetto dei diversi ruoli all’interno dell’istituzione;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incrementare l’uso delle tecnologie digitali tra il personale e migliorarne la competenza;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sostenere la formazione e l’autoaggiornamento per la diffusione dell’innovazione metodologica e didattica al fine di migliorare l’ambiente dell’apprendimento;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collaborare con il territorio: reti, accordi e progetti;</w:t>
      </w:r>
    </w:p>
    <w:p>
      <w:pPr>
        <w:pStyle w:val="ListParagraph"/>
        <w:numPr>
          <w:ilvl w:val="0"/>
          <w:numId w:val="4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operare per il miglioramento del clima relazionale dentro e fuori le classi.</w:t>
      </w:r>
    </w:p>
    <w:p>
      <w:pPr>
        <w:pStyle w:val="Normal"/>
        <w:jc w:val="both"/>
        <w:rPr>
          <w:sz w:val="18"/>
          <w:szCs w:val="18"/>
        </w:rPr>
      </w:pPr>
      <w:r>
        <w:rPr>
          <w:rFonts w:ascii="Calibri" w:hAnsi="Calibri"/>
          <w:sz w:val="22"/>
          <w:szCs w:val="22"/>
        </w:rPr>
        <w:t>Il PTOF dovrà pertanto includere: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l’offerta formativa;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il curricolo verticale </w:t>
      </w:r>
      <w:r>
        <w:rPr>
          <w:rFonts w:ascii="Calibri" w:hAnsi="Calibri"/>
          <w:sz w:val="22"/>
          <w:szCs w:val="22"/>
        </w:rPr>
        <w:t>di Istituto</w:t>
      </w:r>
      <w:r>
        <w:rPr>
          <w:rFonts w:ascii="Calibri" w:hAnsi="Calibri"/>
          <w:sz w:val="22"/>
          <w:szCs w:val="22"/>
        </w:rPr>
        <w:t>;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le attività progettuali;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l’attuazione dei princìpi di pari opportunità e di contrasto alle discriminazioni </w:t>
      </w:r>
      <w:r>
        <w:rPr>
          <w:rFonts w:ascii="Calibri" w:hAnsi="Calibri"/>
          <w:sz w:val="22"/>
          <w:szCs w:val="22"/>
        </w:rPr>
        <w:t>(educazione alla legalità e alla convivenza civile);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 percorsi formativi e le iniziative diretti all’Orientamento degli alunni “in uscita”;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le azioni per dare risposta alle difficoltà relative all’integrazione degli alunni non italofoni;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descrizione dei rapporti con il territorio;</w:t>
      </w:r>
    </w:p>
    <w:p>
      <w:pPr>
        <w:pStyle w:val="ListParagraph"/>
        <w:numPr>
          <w:ilvl w:val="0"/>
          <w:numId w:val="0"/>
        </w:numPr>
        <w:ind w:left="2160" w:hanging="0"/>
        <w:jc w:val="both"/>
        <w:rPr>
          <w:rFonts w:asciiTheme="majorHAnsi" w:hAnsiTheme="majorHAnsi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Inoltre il Piano dovrà esplicitare:</w:t>
      </w:r>
    </w:p>
    <w:p>
      <w:pPr>
        <w:pStyle w:val="ListParagraph"/>
        <w:numPr>
          <w:ilvl w:val="0"/>
          <w:numId w:val="6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il fabbisogno di posti comuni, di sostegno e per il potenziamento dell’offerta formativa (art. 1 comma 2 L. 107/2015);</w:t>
      </w:r>
    </w:p>
    <w:p>
      <w:pPr>
        <w:pStyle w:val="ListParagraph"/>
        <w:numPr>
          <w:ilvl w:val="0"/>
          <w:numId w:val="6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il fabbisogno del personale ATA;</w:t>
      </w:r>
    </w:p>
    <w:p>
      <w:pPr>
        <w:pStyle w:val="ListParagraph"/>
        <w:numPr>
          <w:ilvl w:val="0"/>
          <w:numId w:val="6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il fabbisogno di strutture, infrastrutture, attrezzature e materiali;</w:t>
      </w:r>
    </w:p>
    <w:p>
      <w:pPr>
        <w:pStyle w:val="ListParagraph"/>
        <w:numPr>
          <w:ilvl w:val="0"/>
          <w:numId w:val="6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il Piano di Miglioramento;</w:t>
      </w:r>
    </w:p>
    <w:p>
      <w:pPr>
        <w:pStyle w:val="ListParagraph"/>
        <w:numPr>
          <w:ilvl w:val="0"/>
          <w:numId w:val="6"/>
        </w:numPr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la rendicontazione sociale e la pubblicazione e diffusione dei risultati raggiunti </w:t>
      </w:r>
      <w:r>
        <w:rPr>
          <w:rFonts w:ascii="Calibri" w:hAnsi="Calibri"/>
          <w:sz w:val="22"/>
          <w:szCs w:val="22"/>
        </w:rPr>
        <w:t>(dal 2019)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libri" w:hAnsi="Calibri"/>
          <w:sz w:val="22"/>
          <w:szCs w:val="22"/>
        </w:rPr>
        <w:t>Il presente Atto di Indirizzo fa riferimento ai commi della L. n.  107/2015 che si riferiscono espressamente al Piano dell’Offerta Formativa Triennale.</w:t>
      </w:r>
    </w:p>
    <w:p>
      <w:pPr>
        <w:pStyle w:val="Normal"/>
        <w:jc w:val="both"/>
        <w:rPr>
          <w:rFonts w:asciiTheme="majorHAnsi" w:hAnsiTheme="majorHAnsi"/>
          <w:i/>
          <w:i/>
          <w:iCs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</w:r>
      <w:bookmarkStart w:id="1" w:name="_GoBack"/>
      <w:bookmarkEnd w:id="1"/>
      <w:r>
        <w:rPr>
          <w:rFonts w:ascii="Calibri" w:hAnsi="Calibri"/>
          <w:sz w:val="22"/>
          <w:szCs w:val="22"/>
        </w:rPr>
        <w:tab/>
        <w:tab/>
        <w:t>La Dirigente Scolastica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>Prof.</w:t>
      </w:r>
      <w:r>
        <w:rPr>
          <w:rFonts w:ascii="Calibri" w:hAnsi="Calibri"/>
          <w:sz w:val="22"/>
          <w:szCs w:val="22"/>
          <w:vertAlign w:val="superscript"/>
        </w:rPr>
        <w:t xml:space="preserve">ssa </w:t>
      </w:r>
      <w:r>
        <w:rPr>
          <w:rFonts w:ascii="Calibri" w:hAnsi="Calibri"/>
          <w:sz w:val="22"/>
          <w:szCs w:val="22"/>
        </w:rPr>
        <w:t>Emanuela Boselli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libri">
    <w:charset w:val="01"/>
    <w:family w:val="swiss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18"/>
        <w:rFonts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62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principale"/>
    <w:qFormat/>
    <w:rsid w:val="00a362b3"/>
    <w:pPr>
      <w:outlineLvl w:val="0"/>
    </w:pPr>
    <w:rPr/>
  </w:style>
  <w:style w:type="paragraph" w:styleId="Titolo2">
    <w:name w:val="Heading 2"/>
    <w:basedOn w:val="Titoloprincipale"/>
    <w:qFormat/>
    <w:rsid w:val="00a362b3"/>
    <w:pPr>
      <w:outlineLvl w:val="1"/>
    </w:pPr>
    <w:rPr/>
  </w:style>
  <w:style w:type="paragraph" w:styleId="Titolo3">
    <w:name w:val="Heading 3"/>
    <w:basedOn w:val="Titoloprincipale"/>
    <w:qFormat/>
    <w:rsid w:val="00a362b3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a362b3"/>
    <w:rPr>
      <w:rFonts w:eastAsia="Calibri"/>
      <w:sz w:val="24"/>
    </w:rPr>
  </w:style>
  <w:style w:type="character" w:styleId="ListLabel2" w:customStyle="1">
    <w:name w:val="ListLabel 2"/>
    <w:qFormat/>
    <w:rsid w:val="00a362b3"/>
    <w:rPr>
      <w:rFonts w:cs="Courier New"/>
    </w:rPr>
  </w:style>
  <w:style w:type="character" w:styleId="CollegamentoInternet">
    <w:name w:val="Collegamento Internet"/>
    <w:basedOn w:val="DefaultParagraphFont"/>
    <w:uiPriority w:val="99"/>
    <w:unhideWhenUsed/>
    <w:rsid w:val="005c2759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f3634"/>
    <w:rPr>
      <w:rFonts w:ascii="Tahoma" w:hAnsi="Tahoma" w:cs="Tahoma"/>
      <w:sz w:val="16"/>
      <w:szCs w:val="16"/>
    </w:rPr>
  </w:style>
  <w:style w:type="character" w:styleId="ListLabel3">
    <w:name w:val="ListLabel 3"/>
    <w:qFormat/>
    <w:rPr>
      <w:rFonts w:cs="Cambria"/>
      <w:sz w:val="1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  <w:sz w:val="1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  <w:sz w:val="1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  <w:sz w:val="18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  <w:sz w:val="18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  <w:sz w:val="1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sz w:val="16"/>
      <w:szCs w:val="16"/>
    </w:rPr>
  </w:style>
  <w:style w:type="character" w:styleId="ListLabel58">
    <w:name w:val="ListLabel 58"/>
    <w:qFormat/>
    <w:rPr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a362b3"/>
    <w:pPr>
      <w:spacing w:lineRule="auto" w:line="288" w:before="0" w:after="140"/>
    </w:pPr>
    <w:rPr/>
  </w:style>
  <w:style w:type="paragraph" w:styleId="Elenco">
    <w:name w:val="List"/>
    <w:basedOn w:val="Corpodeltesto"/>
    <w:rsid w:val="00a362b3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362b3"/>
    <w:pPr>
      <w:suppressLineNumbers/>
    </w:pPr>
    <w:rPr>
      <w:rFonts w:cs="Mangal"/>
    </w:rPr>
  </w:style>
  <w:style w:type="paragraph" w:styleId="Titoloprincipale" w:customStyle="1">
    <w:name w:val="Title"/>
    <w:basedOn w:val="Normal"/>
    <w:qFormat/>
    <w:rsid w:val="00a362b3"/>
    <w:pPr/>
    <w:rPr/>
  </w:style>
  <w:style w:type="paragraph" w:styleId="Caption">
    <w:name w:val="caption"/>
    <w:basedOn w:val="Normal"/>
    <w:qFormat/>
    <w:rsid w:val="00a36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3ef8"/>
    <w:pPr>
      <w:spacing w:before="0" w:after="200"/>
      <w:ind w:left="720" w:hanging="0"/>
      <w:contextualSpacing/>
    </w:pPr>
    <w:rPr/>
  </w:style>
  <w:style w:type="paragraph" w:styleId="Testocitato" w:customStyle="1">
    <w:name w:val="Testo citato"/>
    <w:basedOn w:val="Normal"/>
    <w:qFormat/>
    <w:rsid w:val="00a362b3"/>
    <w:pPr/>
    <w:rPr/>
  </w:style>
  <w:style w:type="paragraph" w:styleId="Sottotitolo">
    <w:name w:val="Subtitle"/>
    <w:basedOn w:val="Titoloprincipale"/>
    <w:qFormat/>
    <w:rsid w:val="00a362b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f36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0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cmontichiari.gov.it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LibreOffice/6.0.4.2$Windows_X86_64 LibreOffice_project/9b0d9b32d5dcda91d2f1a96dc04c645c450872bf</Application>
  <Pages>3</Pages>
  <Words>748</Words>
  <Characters>4514</Characters>
  <CharactersWithSpaces>5242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2015-09-28T18:40:00Z</dcterms:created>
  <dc:creator>oem</dc:creator>
  <dc:description/>
  <dc:language>it-IT</dc:language>
  <cp:lastModifiedBy/>
  <dcterms:modified xsi:type="dcterms:W3CDTF">2018-11-20T15:12:13Z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